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генерального директора 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«Фонд капитального ремонта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ногоквартирных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домов Амурской области» </w:t>
      </w:r>
    </w:p>
    <w:p w:rsidR="00352F15" w:rsidRPr="00DA0E2A" w:rsidRDefault="00352F15" w:rsidP="00352F15">
      <w:pPr>
        <w:pStyle w:val="34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43648">
        <w:rPr>
          <w:sz w:val="28"/>
          <w:szCs w:val="28"/>
        </w:rPr>
        <w:t>т</w:t>
      </w:r>
      <w:r>
        <w:rPr>
          <w:sz w:val="28"/>
          <w:szCs w:val="28"/>
        </w:rPr>
        <w:t xml:space="preserve"> 12.01</w:t>
      </w:r>
      <w:r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64364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F15" w:rsidRDefault="00352F15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15" w:rsidRDefault="00352F15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15" w:rsidRDefault="00BB7029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FA7230" w:rsidRDefault="00EC75FD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lastRenderedPageBreak/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FA7230" w:rsidRPr="00FA7230" w:rsidRDefault="00FA7230" w:rsidP="00FA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.</w:t>
      </w: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A95939" w:rsidRDefault="007E3DD0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Предметом конкурса является право заключения договора банковского вклада (депозита) регионального оператора для размещения време</w:t>
      </w:r>
      <w:r w:rsidR="00A95939">
        <w:rPr>
          <w:rFonts w:eastAsiaTheme="minorHAnsi" w:cstheme="minorBidi"/>
          <w:szCs w:val="28"/>
        </w:rPr>
        <w:t>нно свободных средств фонда капитального ремонта общего имущества многоквартирных домов на территории Амурской области</w:t>
      </w:r>
    </w:p>
    <w:p w:rsidR="009C1455" w:rsidRPr="009C1455" w:rsidRDefault="00A95939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9C1455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A95939" w:rsidRPr="00A95939" w:rsidRDefault="00A95939" w:rsidP="00A9593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95939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требованиям, установленным </w:t>
      </w:r>
      <w:hyperlink r:id="rId9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176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следующим требованиям:</w:t>
      </w:r>
    </w:p>
    <w:p w:rsidR="00A95939" w:rsidRPr="00A95939" w:rsidRDefault="00A95939" w:rsidP="00A95939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 xml:space="preserve">а)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</w:t>
      </w:r>
      <w:hyperlink r:id="rId10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</w:t>
      </w:r>
      <w:r w:rsidR="00264B5D">
        <w:rPr>
          <w:rFonts w:ascii="Times New Roman" w:hAnsi="Times New Roman" w:cs="Times New Roman"/>
          <w:sz w:val="28"/>
          <w:szCs w:val="28"/>
        </w:rPr>
        <w:t>«</w:t>
      </w:r>
      <w:r w:rsidRPr="00A95939">
        <w:rPr>
          <w:rFonts w:ascii="Times New Roman" w:hAnsi="Times New Roman" w:cs="Times New Roman"/>
          <w:sz w:val="28"/>
          <w:szCs w:val="28"/>
        </w:rPr>
        <w:t>О страховании вкладов физических ли</w:t>
      </w:r>
      <w:r w:rsidR="00264B5D">
        <w:rPr>
          <w:rFonts w:ascii="Times New Roman" w:hAnsi="Times New Roman" w:cs="Times New Roman"/>
          <w:sz w:val="28"/>
          <w:szCs w:val="28"/>
        </w:rPr>
        <w:t>ц в банках Российской Федерации»</w:t>
      </w:r>
      <w:r w:rsidRPr="00A95939">
        <w:rPr>
          <w:rFonts w:ascii="Times New Roman" w:hAnsi="Times New Roman" w:cs="Times New Roman"/>
          <w:sz w:val="28"/>
          <w:szCs w:val="28"/>
        </w:rPr>
        <w:t>;</w:t>
      </w:r>
    </w:p>
    <w:p w:rsidR="00A95939" w:rsidRPr="00A95939" w:rsidRDefault="00A95939" w:rsidP="00A95939">
      <w:pPr>
        <w:pStyle w:val="a3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>б) соответствие одному из следующих требований:</w:t>
      </w:r>
    </w:p>
    <w:p w:rsidR="00A95939" w:rsidRPr="00A95939" w:rsidRDefault="00A95939" w:rsidP="00264B5D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 xml:space="preserve"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</w:t>
      </w:r>
      <w:r w:rsidR="00264B5D">
        <w:rPr>
          <w:rFonts w:ascii="Times New Roman" w:hAnsi="Times New Roman" w:cs="Times New Roman"/>
          <w:sz w:val="28"/>
          <w:szCs w:val="28"/>
        </w:rPr>
        <w:t>«Интернет»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64B5D">
        <w:rPr>
          <w:rFonts w:ascii="Times New Roman" w:hAnsi="Times New Roman" w:cs="Times New Roman"/>
          <w:sz w:val="28"/>
          <w:szCs w:val="28"/>
        </w:rPr>
        <w:t>«</w:t>
      </w:r>
      <w:r w:rsidRPr="00A95939">
        <w:rPr>
          <w:rFonts w:ascii="Times New Roman" w:hAnsi="Times New Roman" w:cs="Times New Roman"/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</w:t>
      </w:r>
      <w:r w:rsidR="00264B5D">
        <w:rPr>
          <w:rFonts w:ascii="Times New Roman" w:hAnsi="Times New Roman" w:cs="Times New Roman"/>
          <w:sz w:val="28"/>
          <w:szCs w:val="28"/>
        </w:rPr>
        <w:t>»</w:t>
      </w:r>
      <w:r w:rsidRPr="00A95939">
        <w:rPr>
          <w:rFonts w:ascii="Times New Roman" w:hAnsi="Times New Roman" w:cs="Times New Roman"/>
          <w:sz w:val="28"/>
          <w:szCs w:val="28"/>
        </w:rPr>
        <w:t>);</w:t>
      </w:r>
    </w:p>
    <w:p w:rsidR="00A95939" w:rsidRPr="00A95939" w:rsidRDefault="00A95939" w:rsidP="00264B5D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>заключен</w:t>
      </w:r>
      <w:r w:rsidR="00264B5D">
        <w:rPr>
          <w:rFonts w:ascii="Times New Roman" w:hAnsi="Times New Roman" w:cs="Times New Roman"/>
          <w:sz w:val="28"/>
          <w:szCs w:val="28"/>
        </w:rPr>
        <w:t>ие государственной корпорацией «</w:t>
      </w:r>
      <w:r w:rsidRPr="00A95939">
        <w:rPr>
          <w:rFonts w:ascii="Times New Roman" w:hAnsi="Times New Roman" w:cs="Times New Roman"/>
          <w:sz w:val="28"/>
          <w:szCs w:val="28"/>
        </w:rPr>
        <w:t>Агентство по страхованию вкладов</w:t>
      </w:r>
      <w:r w:rsidR="00264B5D">
        <w:rPr>
          <w:rFonts w:ascii="Times New Roman" w:hAnsi="Times New Roman" w:cs="Times New Roman"/>
          <w:sz w:val="28"/>
          <w:szCs w:val="28"/>
        </w:rPr>
        <w:t>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</w:t>
      </w:r>
      <w:hyperlink r:id="rId12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="003A6FD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9593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11 Федерального закона </w:t>
      </w:r>
      <w:r w:rsidR="003A6FDF">
        <w:rPr>
          <w:rFonts w:ascii="Times New Roman" w:hAnsi="Times New Roman" w:cs="Times New Roman"/>
          <w:sz w:val="28"/>
          <w:szCs w:val="28"/>
        </w:rPr>
        <w:t>«</w:t>
      </w:r>
      <w:r w:rsidRPr="00A95939">
        <w:rPr>
          <w:rFonts w:ascii="Times New Roman" w:hAnsi="Times New Roman" w:cs="Times New Roman"/>
          <w:sz w:val="28"/>
          <w:szCs w:val="28"/>
        </w:rPr>
        <w:t xml:space="preserve">О страховании вкладов </w:t>
      </w:r>
      <w:r w:rsidRPr="00A95939">
        <w:rPr>
          <w:rFonts w:ascii="Times New Roman" w:hAnsi="Times New Roman" w:cs="Times New Roman"/>
          <w:sz w:val="28"/>
          <w:szCs w:val="28"/>
        </w:rPr>
        <w:lastRenderedPageBreak/>
        <w:t>физических лиц в банках Российской Федерации</w:t>
      </w:r>
      <w:r w:rsidR="003A6FDF">
        <w:rPr>
          <w:rFonts w:ascii="Times New Roman" w:hAnsi="Times New Roman" w:cs="Times New Roman"/>
          <w:sz w:val="28"/>
          <w:szCs w:val="28"/>
        </w:rPr>
        <w:t>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и</w:t>
      </w:r>
      <w:r w:rsidR="003A6FDF">
        <w:rPr>
          <w:rFonts w:ascii="Times New Roman" w:hAnsi="Times New Roman" w:cs="Times New Roman"/>
          <w:sz w:val="28"/>
          <w:szCs w:val="28"/>
        </w:rPr>
        <w:t xml:space="preserve"> статью 46 Федерального закона «</w:t>
      </w:r>
      <w:r w:rsidRPr="00A95939">
        <w:rPr>
          <w:rFonts w:ascii="Times New Roman" w:hAnsi="Times New Roman" w:cs="Times New Roman"/>
          <w:sz w:val="28"/>
          <w:szCs w:val="28"/>
        </w:rPr>
        <w:t>О Центральном банке Росси</w:t>
      </w:r>
      <w:r w:rsidR="003A6FDF">
        <w:rPr>
          <w:rFonts w:ascii="Times New Roman" w:hAnsi="Times New Roman" w:cs="Times New Roman"/>
          <w:sz w:val="28"/>
          <w:szCs w:val="28"/>
        </w:rPr>
        <w:t xml:space="preserve">йской Федерации (Банке России)» </w:t>
      </w:r>
      <w:r w:rsidRPr="00A95939">
        <w:rPr>
          <w:rFonts w:ascii="Times New Roman" w:hAnsi="Times New Roman" w:cs="Times New Roman"/>
          <w:sz w:val="28"/>
          <w:szCs w:val="28"/>
        </w:rPr>
        <w:t>(указанная информация размещает</w:t>
      </w:r>
      <w:r w:rsidR="003A6FDF">
        <w:rPr>
          <w:rFonts w:ascii="Times New Roman" w:hAnsi="Times New Roman" w:cs="Times New Roman"/>
          <w:sz w:val="28"/>
          <w:szCs w:val="28"/>
        </w:rPr>
        <w:t>ся государственной корпорацией «</w:t>
      </w:r>
      <w:r w:rsidRPr="00A95939">
        <w:rPr>
          <w:rFonts w:ascii="Times New Roman" w:hAnsi="Times New Roman" w:cs="Times New Roman"/>
          <w:sz w:val="28"/>
          <w:szCs w:val="28"/>
        </w:rPr>
        <w:t xml:space="preserve">Агентство по </w:t>
      </w:r>
      <w:r w:rsidR="003A6FDF">
        <w:rPr>
          <w:rFonts w:ascii="Times New Roman" w:hAnsi="Times New Roman" w:cs="Times New Roman"/>
          <w:sz w:val="28"/>
          <w:szCs w:val="28"/>
        </w:rPr>
        <w:t>страхованию вкладов»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</w:t>
      </w:r>
      <w:r w:rsidR="003A6F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95939">
        <w:rPr>
          <w:rFonts w:ascii="Times New Roman" w:hAnsi="Times New Roman" w:cs="Times New Roman"/>
          <w:sz w:val="28"/>
          <w:szCs w:val="28"/>
        </w:rPr>
        <w:t>).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>Извещение о проведении конкурса и конкурсная документация 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</w:t>
      </w:r>
      <w:r w:rsidRPr="00416FFA">
        <w:rPr>
          <w:rFonts w:ascii="Times New Roman" w:hAnsi="Times New Roman" w:cs="Times New Roman"/>
          <w:sz w:val="28"/>
          <w:szCs w:val="28"/>
        </w:rPr>
        <w:lastRenderedPageBreak/>
        <w:t xml:space="preserve">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документы, подтверждающие участие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в системе обязательного страхования вкладов физических лиц в банках Российской Федерации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страховании вкладов физических лиц в банках Российской Федерации»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одному из следующих требований: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«Интернет»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государственной корпорацией «Агентство по страхованию вкладов»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внесении изменений в статью 11 Федерального закона «О страховании вкладов физических лиц в банках Российской Федерации» и статью 46 Федерального закона «О Центральном банке Российской Федерации (Банке России)» (указанная информация размещается государственной корпорацией «Агентство по страхованию вкладов» на своем официальном сайте в информационно-телекоммуникационной сети «Интернет»).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</w:t>
      </w:r>
      <w:r w:rsidR="00381262">
        <w:rPr>
          <w:rFonts w:ascii="Times New Roman" w:hAnsi="Times New Roman" w:cs="Times New Roman"/>
          <w:sz w:val="28"/>
          <w:szCs w:val="28"/>
        </w:rPr>
        <w:lastRenderedPageBreak/>
        <w:t>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</w:t>
      </w:r>
      <w:r w:rsidRPr="00DB4C6E">
        <w:rPr>
          <w:rFonts w:ascii="Times New Roman" w:hAnsi="Times New Roman"/>
          <w:sz w:val="28"/>
          <w:szCs w:val="28"/>
        </w:rPr>
        <w:lastRenderedPageBreak/>
        <w:t xml:space="preserve">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>оверки 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сопостановления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lastRenderedPageBreak/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>Примерная Форма описи документов</w:t>
      </w:r>
    </w:p>
    <w:p w:rsidR="00CF5910" w:rsidRPr="00CF5910" w:rsidRDefault="00683523" w:rsidP="00A3209F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</w:t>
      </w:r>
      <w:r w:rsidR="00A3209F">
        <w:rPr>
          <w:rFonts w:ascii="Times New Roman" w:hAnsi="Times New Roman"/>
          <w:sz w:val="28"/>
          <w:szCs w:val="28"/>
        </w:rPr>
        <w:t>3</w:t>
      </w:r>
      <w:r w:rsidRPr="008634F5">
        <w:rPr>
          <w:rFonts w:ascii="Times New Roman" w:hAnsi="Times New Roman"/>
          <w:sz w:val="28"/>
          <w:szCs w:val="28"/>
        </w:rPr>
        <w:t xml:space="preserve"> – </w:t>
      </w:r>
      <w:r w:rsidR="00CF5910" w:rsidRPr="00CF5910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доверенности</w:t>
      </w:r>
    </w:p>
    <w:p w:rsidR="00CF5910" w:rsidRPr="00CF5910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</w:t>
      </w:r>
      <w:r w:rsidR="00A3209F">
        <w:rPr>
          <w:rFonts w:ascii="Times New Roman" w:hAnsi="Times New Roman"/>
          <w:sz w:val="28"/>
          <w:szCs w:val="28"/>
        </w:rPr>
        <w:t>4</w:t>
      </w:r>
      <w:r w:rsidRPr="008634F5">
        <w:rPr>
          <w:rFonts w:ascii="Times New Roman" w:hAnsi="Times New Roman"/>
          <w:sz w:val="28"/>
          <w:szCs w:val="28"/>
        </w:rPr>
        <w:t xml:space="preserve"> – </w:t>
      </w:r>
      <w:r w:rsidR="005B0213" w:rsidRPr="00CF5910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  <w:bookmarkStart w:id="2" w:name="_GoBack"/>
      <w:bookmarkEnd w:id="2"/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3209F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5B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Батурину</w:t>
            </w:r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</w:t>
      </w:r>
      <w:r w:rsidRPr="00FF0331">
        <w:rPr>
          <w:rFonts w:ascii="Times New Roman" w:hAnsi="Times New Roman"/>
          <w:sz w:val="24"/>
          <w:szCs w:val="24"/>
        </w:rPr>
        <w:lastRenderedPageBreak/>
        <w:t xml:space="preserve">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03505D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8E6F91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18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EA" w:rsidRDefault="00201CEA" w:rsidP="009E4821">
      <w:pPr>
        <w:spacing w:after="0" w:line="240" w:lineRule="auto"/>
      </w:pPr>
      <w:r>
        <w:separator/>
      </w:r>
    </w:p>
  </w:endnote>
  <w:endnote w:type="continuationSeparator" w:id="0">
    <w:p w:rsidR="00201CEA" w:rsidRDefault="00201CE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EA" w:rsidRDefault="00201CEA" w:rsidP="009E4821">
      <w:pPr>
        <w:spacing w:after="0" w:line="240" w:lineRule="auto"/>
      </w:pPr>
      <w:r>
        <w:separator/>
      </w:r>
    </w:p>
  </w:footnote>
  <w:footnote w:type="continuationSeparator" w:id="0">
    <w:p w:rsidR="00201CEA" w:rsidRDefault="00201CE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0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3C2A"/>
    <w:rsid w:val="0002025E"/>
    <w:rsid w:val="0002038F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CEA"/>
    <w:rsid w:val="0020544E"/>
    <w:rsid w:val="00207A81"/>
    <w:rsid w:val="00210641"/>
    <w:rsid w:val="0021334A"/>
    <w:rsid w:val="002142FD"/>
    <w:rsid w:val="002226A6"/>
    <w:rsid w:val="002240C8"/>
    <w:rsid w:val="002248E8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E9D"/>
    <w:rsid w:val="00347876"/>
    <w:rsid w:val="00352F15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270F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6928"/>
    <w:rsid w:val="009F6AF7"/>
    <w:rsid w:val="009F6C5C"/>
    <w:rsid w:val="00A01433"/>
    <w:rsid w:val="00A021DB"/>
    <w:rsid w:val="00A0223C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34">
    <w:name w:val="Основной текст3"/>
    <w:basedOn w:val="a"/>
    <w:rsid w:val="00352F15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13" Type="http://schemas.openxmlformats.org/officeDocument/2006/relationships/hyperlink" Target="consultantplus://offline/ref=8E5C064229310FCDF338C46D9052B63AD2A7B601DCD2C8BDB2A69EE9E6E037EC00CB17F5DE926234g9K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5C064229310FCDF338C46D9052B63AD2A7B601DCD2C8BDB2A69EE9E6E037EC00CB17F5DE926231g9K9F" TargetMode="External"/><Relationship Id="rId17" Type="http://schemas.openxmlformats.org/officeDocument/2006/relationships/hyperlink" Target="consultantplus://offline/ref=D0E12840065A2596255638C9E228EA179E8F14193CC947244A12634531AAA94F02F91E2DFF3D8F7006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12840065A2596255638C9E228EA179E8F14193CC947244A12634531AAA94F02F91E2DFF3D8F7506H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C064229310FCDF338C46D9052B63AD2A7B70BD1D2C8BDB2A69EE9E6E037EC00CB17gFK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12840065A2596255638C9E228EA179E8F151331C947244A12634531AAA94F02F91E02HBG" TargetMode="External"/><Relationship Id="rId10" Type="http://schemas.openxmlformats.org/officeDocument/2006/relationships/hyperlink" Target="consultantplus://offline/ref=8E5C064229310FCDF338C46D9052B63AD2A4B00AD5D7C8BDB2A69EE9E6gEK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C064229310FCDF338C46D9052B63AD2ADB30FD0D4C8BDB2A69EE9E6E037EC00CB17F6D7g9K6F" TargetMode="External"/><Relationship Id="rId14" Type="http://schemas.openxmlformats.org/officeDocument/2006/relationships/hyperlink" Target="consultantplus://offline/ref=CF7DE852A4C795DB981D8F306A092C84431FF8B3EA774D04652F149F82QA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BC45-1B06-433C-86B4-595301EF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20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Коростиленко Виктория Анатольевна</cp:lastModifiedBy>
  <cp:revision>18</cp:revision>
  <cp:lastPrinted>2018-01-12T02:18:00Z</cp:lastPrinted>
  <dcterms:created xsi:type="dcterms:W3CDTF">2017-12-18T06:28:00Z</dcterms:created>
  <dcterms:modified xsi:type="dcterms:W3CDTF">2018-01-12T02:22:00Z</dcterms:modified>
</cp:coreProperties>
</file>