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6">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F31102">
        <w:rPr>
          <w:rFonts w:ascii="Times New Roman" w:hAnsi="Times New Roman" w:cs="Times New Roman"/>
          <w:sz w:val="28"/>
          <w:szCs w:val="28"/>
        </w:rPr>
        <w:t>4162) 77-65-21</w:t>
      </w:r>
    </w:p>
    <w:p w:rsidR="00340A4A" w:rsidRPr="00F31102"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F31102">
        <w:rPr>
          <w:rFonts w:ascii="Times New Roman" w:hAnsi="Times New Roman" w:cs="Times New Roman"/>
          <w:sz w:val="28"/>
          <w:szCs w:val="28"/>
          <w:lang w:val="en-US"/>
        </w:rPr>
        <w:t>zakupki</w:t>
      </w:r>
      <w:proofErr w:type="spellEnd"/>
      <w:r w:rsidR="00F31102" w:rsidRPr="00F31102">
        <w:rPr>
          <w:rFonts w:ascii="Times New Roman" w:hAnsi="Times New Roman" w:cs="Times New Roman"/>
          <w:sz w:val="28"/>
          <w:szCs w:val="28"/>
        </w:rPr>
        <w:t>@</w:t>
      </w:r>
      <w:proofErr w:type="spellStart"/>
      <w:r w:rsidR="00F31102">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F31102">
        <w:rPr>
          <w:rFonts w:ascii="Times New Roman" w:hAnsi="Times New Roman" w:cs="Times New Roman"/>
          <w:sz w:val="28"/>
          <w:szCs w:val="28"/>
        </w:rPr>
        <w:t>Батурин Сергей Владимирович.</w:t>
      </w:r>
    </w:p>
    <w:p w:rsidR="00F31102" w:rsidRPr="00F31102" w:rsidRDefault="00F31102" w:rsidP="00A47486">
      <w:pPr>
        <w:widowControl w:val="0"/>
        <w:spacing w:after="0" w:line="240" w:lineRule="auto"/>
        <w:ind w:firstLine="567"/>
        <w:contextualSpacing/>
        <w:jc w:val="both"/>
      </w:pPr>
      <w:r w:rsidRPr="00F31102">
        <w:rPr>
          <w:rFonts w:ascii="Times New Roman" w:hAnsi="Times New Roman" w:cs="Times New Roman"/>
          <w:b/>
          <w:sz w:val="28"/>
          <w:szCs w:val="28"/>
        </w:rPr>
        <w:t>Контактное лицо:</w:t>
      </w:r>
      <w:r>
        <w:rPr>
          <w:rFonts w:ascii="Times New Roman" w:hAnsi="Times New Roman" w:cs="Times New Roman"/>
          <w:b/>
          <w:sz w:val="28"/>
          <w:szCs w:val="28"/>
        </w:rPr>
        <w:t xml:space="preserve"> </w:t>
      </w:r>
      <w:r>
        <w:rPr>
          <w:rFonts w:ascii="Times New Roman" w:hAnsi="Times New Roman" w:cs="Times New Roman"/>
          <w:sz w:val="28"/>
          <w:szCs w:val="28"/>
        </w:rPr>
        <w:t>Коростиленко Виктория Анатольевна.</w:t>
      </w:r>
    </w:p>
    <w:p w:rsidR="00034591" w:rsidRDefault="00340A4A" w:rsidP="00A4748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Наименование объекта закупки:</w:t>
      </w:r>
      <w:r>
        <w:rPr>
          <w:rFonts w:ascii="Times New Roman" w:hAnsi="Times New Roman" w:cs="Times New Roman"/>
          <w:sz w:val="28"/>
          <w:szCs w:val="28"/>
        </w:rPr>
        <w:t xml:space="preserve"> </w:t>
      </w:r>
      <w:r w:rsidR="00C969BD" w:rsidRPr="00C969BD">
        <w:rPr>
          <w:rFonts w:ascii="Times New Roman" w:hAnsi="Times New Roman" w:cs="Times New Roman"/>
          <w:sz w:val="28"/>
          <w:szCs w:val="28"/>
        </w:rPr>
        <w:t xml:space="preserve">Оказание информационных услуг с использованием </w:t>
      </w:r>
      <w:r w:rsidR="00034591">
        <w:rPr>
          <w:rFonts w:ascii="Times New Roman" w:hAnsi="Times New Roman" w:cs="Times New Roman"/>
          <w:sz w:val="28"/>
          <w:szCs w:val="28"/>
        </w:rPr>
        <w:t xml:space="preserve">установленных у заказчика </w:t>
      </w:r>
      <w:r w:rsidR="00C969BD" w:rsidRPr="00C969BD">
        <w:rPr>
          <w:rFonts w:ascii="Times New Roman" w:hAnsi="Times New Roman" w:cs="Times New Roman"/>
          <w:sz w:val="28"/>
          <w:szCs w:val="28"/>
        </w:rPr>
        <w:t xml:space="preserve">экземпляров </w:t>
      </w:r>
      <w:r w:rsidR="00034591">
        <w:rPr>
          <w:rFonts w:ascii="Times New Roman" w:hAnsi="Times New Roman" w:cs="Times New Roman"/>
          <w:sz w:val="28"/>
          <w:szCs w:val="28"/>
        </w:rPr>
        <w:t>справочно-правовой системы</w:t>
      </w:r>
      <w:r w:rsidR="00C969BD" w:rsidRPr="00C969BD">
        <w:rPr>
          <w:rFonts w:ascii="Times New Roman" w:hAnsi="Times New Roman" w:cs="Times New Roman"/>
          <w:sz w:val="28"/>
          <w:szCs w:val="28"/>
        </w:rPr>
        <w:t xml:space="preserve"> </w:t>
      </w:r>
      <w:r w:rsidR="00034591">
        <w:rPr>
          <w:rFonts w:ascii="Times New Roman" w:hAnsi="Times New Roman" w:cs="Times New Roman"/>
          <w:sz w:val="28"/>
          <w:szCs w:val="28"/>
        </w:rPr>
        <w:t>«</w:t>
      </w:r>
      <w:r w:rsidR="00C969BD" w:rsidRPr="00C969BD">
        <w:rPr>
          <w:rFonts w:ascii="Times New Roman" w:hAnsi="Times New Roman" w:cs="Times New Roman"/>
          <w:sz w:val="28"/>
          <w:szCs w:val="28"/>
        </w:rPr>
        <w:t>Консультант</w:t>
      </w:r>
      <w:r w:rsidR="00D23BF7">
        <w:rPr>
          <w:rFonts w:ascii="Times New Roman" w:hAnsi="Times New Roman" w:cs="Times New Roman"/>
          <w:sz w:val="28"/>
          <w:szCs w:val="28"/>
        </w:rPr>
        <w:t xml:space="preserve"> </w:t>
      </w:r>
      <w:r w:rsidR="00C969BD" w:rsidRPr="00C969BD">
        <w:rPr>
          <w:rFonts w:ascii="Times New Roman" w:hAnsi="Times New Roman" w:cs="Times New Roman"/>
          <w:sz w:val="28"/>
          <w:szCs w:val="28"/>
        </w:rPr>
        <w:t>Плюс</w:t>
      </w:r>
      <w:r w:rsidR="00034591">
        <w:rPr>
          <w:rFonts w:ascii="Times New Roman" w:hAnsi="Times New Roman" w:cs="Times New Roman"/>
          <w:sz w:val="28"/>
          <w:szCs w:val="28"/>
        </w:rPr>
        <w:t>».</w:t>
      </w:r>
    </w:p>
    <w:p w:rsidR="001112D2" w:rsidRPr="00D23BF7" w:rsidRDefault="001112D2" w:rsidP="00A47486">
      <w:pPr>
        <w:widowControl w:val="0"/>
        <w:spacing w:after="0" w:line="240" w:lineRule="auto"/>
        <w:ind w:firstLine="567"/>
        <w:jc w:val="both"/>
        <w:rPr>
          <w:rFonts w:ascii="Times New Roman" w:hAnsi="Times New Roman" w:cs="Times New Roman"/>
          <w:b/>
          <w:sz w:val="32"/>
          <w:szCs w:val="28"/>
        </w:rPr>
      </w:pPr>
      <w:r w:rsidRPr="001112D2">
        <w:rPr>
          <w:rFonts w:ascii="Times New Roman" w:hAnsi="Times New Roman" w:cs="Times New Roman"/>
          <w:b/>
          <w:sz w:val="28"/>
          <w:szCs w:val="28"/>
        </w:rPr>
        <w:t xml:space="preserve">Идентификационный код закупки: </w:t>
      </w:r>
      <w:r w:rsidR="00D23BF7" w:rsidRPr="00D23BF7">
        <w:rPr>
          <w:rFonts w:ascii="Times New Roman" w:hAnsi="Times New Roman" w:cs="Times New Roman"/>
          <w:sz w:val="24"/>
        </w:rPr>
        <w:t>182280117742028010100100000036203226</w:t>
      </w:r>
      <w:r w:rsidR="00D23BF7">
        <w:rPr>
          <w:rFonts w:ascii="Times New Roman" w:hAnsi="Times New Roman" w:cs="Times New Roman"/>
          <w:sz w:val="24"/>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r w:rsidR="00F31102">
        <w:rPr>
          <w:rFonts w:ascii="Times New Roman" w:hAnsi="Times New Roman" w:cs="Times New Roman"/>
          <w:sz w:val="28"/>
          <w:szCs w:val="28"/>
        </w:rPr>
        <w:t xml:space="preserve"> документации (раздел 11)</w:t>
      </w:r>
      <w:r>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оказывать услуги, являющиеся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D23BF7">
        <w:rPr>
          <w:rFonts w:ascii="Times New Roman" w:hAnsi="Times New Roman" w:cs="Times New Roman"/>
          <w:sz w:val="28"/>
          <w:szCs w:val="28"/>
        </w:rPr>
        <w:t>265 200</w:t>
      </w:r>
      <w:r w:rsidR="0058048C">
        <w:rPr>
          <w:rFonts w:ascii="Times New Roman" w:hAnsi="Times New Roman" w:cs="Times New Roman"/>
          <w:sz w:val="28"/>
          <w:szCs w:val="28"/>
        </w:rPr>
        <w:t xml:space="preserve"> (</w:t>
      </w:r>
      <w:r w:rsidR="00D23BF7">
        <w:rPr>
          <w:rFonts w:ascii="Times New Roman" w:hAnsi="Times New Roman" w:cs="Times New Roman"/>
          <w:sz w:val="28"/>
          <w:szCs w:val="28"/>
        </w:rPr>
        <w:t>двести шестьдесят пять тысяч двести</w:t>
      </w:r>
      <w:r w:rsidR="0058048C">
        <w:rPr>
          <w:rFonts w:ascii="Times New Roman" w:hAnsi="Times New Roman" w:cs="Times New Roman"/>
          <w:sz w:val="28"/>
          <w:szCs w:val="28"/>
        </w:rPr>
        <w:t>)</w:t>
      </w:r>
      <w:r w:rsidR="00C969BD">
        <w:rPr>
          <w:b/>
        </w:rPr>
        <w:t xml:space="preserve"> </w:t>
      </w:r>
      <w:r w:rsidR="00D23BF7">
        <w:rPr>
          <w:rFonts w:ascii="Times New Roman" w:hAnsi="Times New Roman" w:cs="Times New Roman"/>
          <w:iCs/>
          <w:sz w:val="28"/>
          <w:szCs w:val="28"/>
        </w:rPr>
        <w:t>рублей</w:t>
      </w:r>
      <w:r w:rsidR="0058048C">
        <w:rPr>
          <w:rFonts w:ascii="Times New Roman" w:hAnsi="Times New Roman" w:cs="Times New Roman"/>
          <w:iCs/>
          <w:sz w:val="28"/>
          <w:szCs w:val="28"/>
        </w:rPr>
        <w:t xml:space="preserve"> 00 копеек.</w:t>
      </w:r>
    </w:p>
    <w:p w:rsidR="00AD218A" w:rsidRPr="00761E97" w:rsidRDefault="00340A4A" w:rsidP="00A47486">
      <w:pPr>
        <w:widowControl w:val="0"/>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b/>
          <w:sz w:val="28"/>
          <w:szCs w:val="28"/>
        </w:rPr>
        <w:t>Сроки оказания услуг:</w:t>
      </w:r>
      <w:r>
        <w:rPr>
          <w:rFonts w:ascii="Times New Roman" w:hAnsi="Times New Roman" w:cs="Times New Roman"/>
          <w:sz w:val="28"/>
          <w:szCs w:val="28"/>
        </w:rPr>
        <w:t xml:space="preserve"> </w:t>
      </w:r>
      <w:r w:rsidR="00761E97">
        <w:rPr>
          <w:rFonts w:ascii="Times New Roman" w:hAnsi="Times New Roman" w:cs="Times New Roman"/>
          <w:sz w:val="28"/>
          <w:szCs w:val="28"/>
        </w:rPr>
        <w:t>с даты за</w:t>
      </w:r>
      <w:r w:rsidR="00F31102">
        <w:rPr>
          <w:rFonts w:ascii="Times New Roman" w:hAnsi="Times New Roman" w:cs="Times New Roman"/>
          <w:sz w:val="28"/>
          <w:szCs w:val="28"/>
        </w:rPr>
        <w:t>ключения контракта по 30.04.2019</w:t>
      </w:r>
      <w:r w:rsidR="00761E97">
        <w:rPr>
          <w:rFonts w:ascii="Times New Roman" w:hAnsi="Times New Roman" w:cs="Times New Roman"/>
          <w:sz w:val="28"/>
          <w:szCs w:val="28"/>
        </w:rPr>
        <w:t>г.</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r w:rsidR="00F31102">
        <w:rPr>
          <w:rFonts w:ascii="Times New Roman" w:hAnsi="Times New Roman" w:cs="Times New Roman"/>
          <w:sz w:val="28"/>
          <w:szCs w:val="28"/>
        </w:rPr>
        <w:t>.</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оказываемых услуг</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оказания</w:t>
      </w:r>
      <w:r w:rsidR="00A90E57">
        <w:rPr>
          <w:rFonts w:ascii="Times New Roman" w:hAnsi="Times New Roman" w:cs="Times New Roman"/>
          <w:b/>
          <w:bCs/>
          <w:sz w:val="28"/>
          <w:szCs w:val="28"/>
        </w:rPr>
        <w:t xml:space="preserve"> услуг</w:t>
      </w:r>
      <w:r>
        <w:rPr>
          <w:rFonts w:ascii="Times New Roman" w:hAnsi="Times New Roman" w:cs="Times New Roman"/>
          <w:b/>
          <w:bCs/>
          <w:sz w:val="28"/>
          <w:szCs w:val="28"/>
        </w:rPr>
        <w:t>:</w:t>
      </w:r>
      <w:r>
        <w:rPr>
          <w:rFonts w:ascii="Times New Roman" w:hAnsi="Times New Roman" w:cs="Times New Roman"/>
          <w:sz w:val="28"/>
          <w:szCs w:val="28"/>
        </w:rPr>
        <w:t xml:space="preserve"> </w:t>
      </w:r>
      <w:r w:rsidR="00A90E57">
        <w:rPr>
          <w:rFonts w:ascii="Times New Roman" w:hAnsi="Times New Roman" w:cs="Times New Roman"/>
          <w:sz w:val="28"/>
          <w:szCs w:val="28"/>
        </w:rPr>
        <w:t>Амурская область, г. Благовещенск, ул. Амурская, 85, 3 этаж, приемная</w:t>
      </w:r>
      <w:r>
        <w:rPr>
          <w:rFonts w:ascii="Times New Roman" w:hAnsi="Times New Roman" w:cs="Times New Roman"/>
          <w:sz w:val="28"/>
          <w:szCs w:val="28"/>
        </w:rPr>
        <w:t>.</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A90E57">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1E1EBF">
        <w:rPr>
          <w:rFonts w:ascii="Times New Roman" w:hAnsi="Times New Roman" w:cs="Times New Roman"/>
          <w:sz w:val="28"/>
          <w:szCs w:val="28"/>
        </w:rPr>
        <w:t>30.03</w:t>
      </w:r>
      <w:r w:rsidR="00A90E57">
        <w:rPr>
          <w:rFonts w:ascii="Times New Roman" w:hAnsi="Times New Roman" w:cs="Times New Roman"/>
          <w:sz w:val="28"/>
          <w:szCs w:val="28"/>
        </w:rPr>
        <w:t>.2018</w:t>
      </w:r>
      <w:r w:rsidR="000E77FE">
        <w:rPr>
          <w:rFonts w:ascii="Times New Roman" w:hAnsi="Times New Roman" w:cs="Times New Roman"/>
          <w:sz w:val="28"/>
          <w:szCs w:val="28"/>
        </w:rPr>
        <w:t>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w:t>
      </w:r>
      <w:r w:rsidRPr="00547ABB">
        <w:rPr>
          <w:rFonts w:ascii="Times New Roman" w:hAnsi="Times New Roman" w:cs="Times New Roman"/>
          <w:b/>
          <w:bCs/>
          <w:sz w:val="28"/>
          <w:szCs w:val="28"/>
        </w:rPr>
        <w:t>Дата и время окончания срока подачи заявок:</w:t>
      </w:r>
      <w:r w:rsidRPr="00547ABB">
        <w:rPr>
          <w:rFonts w:ascii="Times New Roman" w:hAnsi="Times New Roman" w:cs="Times New Roman"/>
          <w:bCs/>
          <w:sz w:val="28"/>
          <w:szCs w:val="28"/>
        </w:rPr>
        <w:t xml:space="preserve"> </w:t>
      </w:r>
      <w:r w:rsidR="001E1EBF">
        <w:rPr>
          <w:rFonts w:ascii="Times New Roman" w:hAnsi="Times New Roman" w:cs="Times New Roman"/>
          <w:sz w:val="28"/>
          <w:szCs w:val="28"/>
        </w:rPr>
        <w:t>06.04</w:t>
      </w:r>
      <w:r w:rsidR="00A90E57">
        <w:rPr>
          <w:rFonts w:ascii="Times New Roman" w:hAnsi="Times New Roman" w:cs="Times New Roman"/>
          <w:sz w:val="28"/>
          <w:szCs w:val="28"/>
        </w:rPr>
        <w:t>.2018</w:t>
      </w:r>
      <w:r w:rsidR="005B52B9" w:rsidRPr="00547ABB">
        <w:rPr>
          <w:rFonts w:ascii="Times New Roman" w:hAnsi="Times New Roman" w:cs="Times New Roman"/>
          <w:sz w:val="28"/>
          <w:szCs w:val="28"/>
        </w:rPr>
        <w:t>г.</w:t>
      </w:r>
      <w:r w:rsidRPr="00547ABB">
        <w:rPr>
          <w:rFonts w:ascii="Times New Roman" w:hAnsi="Times New Roman" w:cs="Times New Roman"/>
          <w:sz w:val="28"/>
          <w:szCs w:val="28"/>
        </w:rPr>
        <w:t xml:space="preserve"> в </w:t>
      </w:r>
      <w:r w:rsidR="00A47486" w:rsidRPr="00547ABB">
        <w:rPr>
          <w:rFonts w:ascii="Times New Roman" w:hAnsi="Times New Roman" w:cs="Times New Roman"/>
          <w:sz w:val="28"/>
          <w:szCs w:val="28"/>
        </w:rPr>
        <w:t xml:space="preserve">18 ч. 00 </w:t>
      </w:r>
      <w:r w:rsidRPr="00547ABB">
        <w:rPr>
          <w:rFonts w:ascii="Times New Roman" w:hAnsi="Times New Roman" w:cs="Times New Roman"/>
          <w:sz w:val="28"/>
          <w:szCs w:val="28"/>
        </w:rPr>
        <w:t>мин.</w:t>
      </w:r>
      <w:r w:rsidR="005B52B9" w:rsidRPr="00547ABB">
        <w:rPr>
          <w:rFonts w:ascii="Times New Roman" w:hAnsi="Times New Roman" w:cs="Times New Roman"/>
          <w:sz w:val="28"/>
          <w:szCs w:val="28"/>
        </w:rPr>
        <w:t xml:space="preserve"> (</w:t>
      </w:r>
      <w:r w:rsidR="00A47486" w:rsidRPr="00547ABB">
        <w:rPr>
          <w:rFonts w:ascii="Times New Roman" w:hAnsi="Times New Roman" w:cs="Times New Roman"/>
          <w:sz w:val="28"/>
          <w:szCs w:val="28"/>
        </w:rPr>
        <w:t>местное время</w:t>
      </w:r>
      <w:r w:rsidR="005B52B9" w:rsidRPr="00547ABB">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A90E5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547ABB" w:rsidRDefault="00340A4A" w:rsidP="00A47486">
      <w:pPr>
        <w:widowControl w:val="0"/>
        <w:spacing w:after="0" w:line="240" w:lineRule="auto"/>
        <w:ind w:firstLine="567"/>
        <w:contextualSpacing/>
        <w:jc w:val="both"/>
      </w:pPr>
      <w:r w:rsidRPr="00547ABB">
        <w:rPr>
          <w:rFonts w:ascii="Times New Roman" w:hAnsi="Times New Roman" w:cs="Times New Roman"/>
          <w:b/>
          <w:bCs/>
          <w:sz w:val="28"/>
          <w:szCs w:val="28"/>
        </w:rPr>
        <w:lastRenderedPageBreak/>
        <w:t xml:space="preserve">Дата окончания срока рассмотрения первых частей заявок: </w:t>
      </w:r>
      <w:r w:rsidR="001E1EBF">
        <w:rPr>
          <w:rFonts w:ascii="Times New Roman" w:hAnsi="Times New Roman" w:cs="Times New Roman"/>
          <w:sz w:val="28"/>
          <w:szCs w:val="28"/>
        </w:rPr>
        <w:t>09.04</w:t>
      </w:r>
      <w:r w:rsidR="00A90E57">
        <w:rPr>
          <w:rFonts w:ascii="Times New Roman" w:hAnsi="Times New Roman" w:cs="Times New Roman"/>
          <w:sz w:val="28"/>
          <w:szCs w:val="28"/>
        </w:rPr>
        <w:t>.2018</w:t>
      </w:r>
      <w:r w:rsidR="005B52B9" w:rsidRPr="00547ABB">
        <w:rPr>
          <w:rFonts w:ascii="Times New Roman" w:hAnsi="Times New Roman" w:cs="Times New Roman"/>
          <w:sz w:val="28"/>
          <w:szCs w:val="28"/>
        </w:rPr>
        <w:t>г.</w:t>
      </w:r>
    </w:p>
    <w:p w:rsidR="00480CC7" w:rsidRPr="00547ABB" w:rsidRDefault="00340A4A" w:rsidP="00A47486">
      <w:pPr>
        <w:widowControl w:val="0"/>
        <w:spacing w:after="0" w:line="240" w:lineRule="auto"/>
        <w:ind w:firstLine="567"/>
        <w:contextualSpacing/>
        <w:jc w:val="both"/>
        <w:rPr>
          <w:rFonts w:ascii="Times New Roman" w:hAnsi="Times New Roman" w:cs="Times New Roman"/>
          <w:sz w:val="28"/>
          <w:szCs w:val="28"/>
        </w:rPr>
      </w:pPr>
      <w:r w:rsidRPr="00547ABB">
        <w:rPr>
          <w:rFonts w:ascii="Times New Roman" w:hAnsi="Times New Roman" w:cs="Times New Roman"/>
          <w:b/>
          <w:bCs/>
          <w:sz w:val="28"/>
          <w:szCs w:val="28"/>
        </w:rPr>
        <w:t xml:space="preserve">Дата проведения электронного аукциона: </w:t>
      </w:r>
      <w:r w:rsidR="001E1EBF">
        <w:rPr>
          <w:rFonts w:ascii="Times New Roman" w:hAnsi="Times New Roman" w:cs="Times New Roman"/>
          <w:bCs/>
          <w:sz w:val="28"/>
          <w:szCs w:val="28"/>
        </w:rPr>
        <w:t>12.04</w:t>
      </w:r>
      <w:r w:rsidR="00A90E57">
        <w:rPr>
          <w:rFonts w:ascii="Times New Roman" w:hAnsi="Times New Roman" w:cs="Times New Roman"/>
          <w:bCs/>
          <w:sz w:val="28"/>
          <w:szCs w:val="28"/>
        </w:rPr>
        <w:t>.2018</w:t>
      </w:r>
      <w:r w:rsidR="005B52B9" w:rsidRPr="00547ABB">
        <w:rPr>
          <w:rFonts w:ascii="Times New Roman" w:hAnsi="Times New Roman" w:cs="Times New Roman"/>
          <w:bCs/>
          <w:sz w:val="28"/>
          <w:szCs w:val="28"/>
        </w:rPr>
        <w:t>г.</w:t>
      </w:r>
    </w:p>
    <w:p w:rsidR="00C969BD" w:rsidRPr="00480CC7" w:rsidRDefault="00C969BD" w:rsidP="00A47486">
      <w:pPr>
        <w:widowControl w:val="0"/>
        <w:spacing w:after="0" w:line="240" w:lineRule="auto"/>
        <w:ind w:firstLine="567"/>
        <w:contextualSpacing/>
        <w:jc w:val="both"/>
        <w:rPr>
          <w:b/>
        </w:rPr>
      </w:pPr>
      <w:r w:rsidRPr="00547ABB">
        <w:rPr>
          <w:rFonts w:ascii="Times New Roman" w:hAnsi="Times New Roman" w:cs="Times New Roman"/>
          <w:b/>
          <w:sz w:val="28"/>
          <w:szCs w:val="28"/>
        </w:rPr>
        <w:t xml:space="preserve">Дата окончания рассмотрения вторых частей заявок: </w:t>
      </w:r>
      <w:r w:rsidR="001E1EBF">
        <w:rPr>
          <w:rFonts w:ascii="Times New Roman" w:hAnsi="Times New Roman" w:cs="Times New Roman"/>
          <w:sz w:val="28"/>
          <w:szCs w:val="28"/>
        </w:rPr>
        <w:t>13.04</w:t>
      </w:r>
      <w:r w:rsidR="00A90E57">
        <w:rPr>
          <w:rFonts w:ascii="Times New Roman" w:hAnsi="Times New Roman" w:cs="Times New Roman"/>
          <w:sz w:val="28"/>
          <w:szCs w:val="28"/>
        </w:rPr>
        <w:t>.2018</w:t>
      </w:r>
      <w:r w:rsidR="005B52B9" w:rsidRPr="00547ABB">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D23BF7">
        <w:rPr>
          <w:rFonts w:ascii="Times New Roman" w:hAnsi="Times New Roman" w:cs="Times New Roman"/>
          <w:bCs/>
          <w:sz w:val="28"/>
          <w:szCs w:val="28"/>
        </w:rPr>
        <w:t>2 652</w:t>
      </w:r>
      <w:r w:rsidR="0058048C" w:rsidRPr="0058048C">
        <w:rPr>
          <w:rFonts w:ascii="Times New Roman" w:hAnsi="Times New Roman" w:cs="Times New Roman"/>
          <w:bCs/>
          <w:sz w:val="28"/>
          <w:szCs w:val="28"/>
        </w:rPr>
        <w:t xml:space="preserve"> (</w:t>
      </w:r>
      <w:r w:rsidR="00D23BF7">
        <w:rPr>
          <w:rFonts w:ascii="Times New Roman" w:hAnsi="Times New Roman" w:cs="Times New Roman"/>
          <w:bCs/>
          <w:sz w:val="28"/>
          <w:szCs w:val="28"/>
        </w:rPr>
        <w:t>две тысячи шестьсот пятьдесят два</w:t>
      </w:r>
      <w:r w:rsidR="0058048C">
        <w:rPr>
          <w:rFonts w:ascii="Times New Roman" w:hAnsi="Times New Roman" w:cs="Times New Roman"/>
          <w:bCs/>
          <w:sz w:val="28"/>
          <w:szCs w:val="28"/>
        </w:rPr>
        <w:t xml:space="preserve">) </w:t>
      </w:r>
      <w:r w:rsidR="00D23BF7">
        <w:rPr>
          <w:rFonts w:ascii="Times New Roman" w:hAnsi="Times New Roman" w:cs="Times New Roman"/>
          <w:sz w:val="28"/>
          <w:szCs w:val="28"/>
        </w:rPr>
        <w:t>рубля 00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C969BD" w:rsidRPr="0058048C">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D23BF7">
        <w:rPr>
          <w:rFonts w:ascii="Times New Roman" w:hAnsi="Times New Roman" w:cs="Times New Roman"/>
          <w:sz w:val="28"/>
          <w:szCs w:val="28"/>
        </w:rPr>
        <w:t>13 260</w:t>
      </w:r>
      <w:r w:rsidR="0058048C">
        <w:rPr>
          <w:rFonts w:ascii="Times New Roman" w:hAnsi="Times New Roman" w:cs="Times New Roman"/>
          <w:sz w:val="28"/>
          <w:szCs w:val="28"/>
        </w:rPr>
        <w:t xml:space="preserve"> (</w:t>
      </w:r>
      <w:r w:rsidR="00D23BF7">
        <w:rPr>
          <w:rFonts w:ascii="Times New Roman" w:hAnsi="Times New Roman" w:cs="Times New Roman"/>
          <w:sz w:val="28"/>
          <w:szCs w:val="28"/>
        </w:rPr>
        <w:t>тринадцать тысяч двести шестьдесят</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D23BF7">
        <w:rPr>
          <w:rFonts w:ascii="Times New Roman" w:hAnsi="Times New Roman" w:cs="Times New Roman"/>
          <w:sz w:val="28"/>
          <w:szCs w:val="28"/>
        </w:rPr>
        <w:t>рублей 00</w:t>
      </w:r>
      <w:r w:rsidR="0058048C">
        <w:rPr>
          <w:rFonts w:ascii="Times New Roman" w:hAnsi="Times New Roman" w:cs="Times New Roman"/>
          <w:sz w:val="28"/>
          <w:szCs w:val="28"/>
        </w:rPr>
        <w:t xml:space="preserve"> копеек.</w:t>
      </w:r>
      <w:bookmarkStart w:id="0" w:name="_GoBack"/>
      <w:bookmarkEnd w:id="0"/>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A90E57" w:rsidRDefault="00A90E57" w:rsidP="00A47486">
      <w:pPr>
        <w:widowControl w:val="0"/>
        <w:spacing w:after="0" w:line="240" w:lineRule="auto"/>
        <w:ind w:firstLine="567"/>
        <w:contextualSpacing/>
        <w:jc w:val="both"/>
        <w:rPr>
          <w:rFonts w:ascii="Times New Roman" w:hAnsi="Times New Roman" w:cs="Times New Roman"/>
          <w:color w:val="0D0D0D"/>
          <w:sz w:val="28"/>
          <w:szCs w:val="28"/>
          <w:u w:val="single"/>
        </w:rPr>
      </w:pPr>
      <w:r w:rsidRPr="00A90E57">
        <w:rPr>
          <w:rFonts w:ascii="Times New Roman" w:hAnsi="Times New Roman" w:cs="Times New Roman"/>
          <w:color w:val="0D0D0D"/>
          <w:sz w:val="28"/>
          <w:szCs w:val="28"/>
          <w:u w:val="single"/>
        </w:rPr>
        <w:t>В случае обеспечения контракта внесением денежных средств:</w:t>
      </w:r>
    </w:p>
    <w:p w:rsidR="00A90E57" w:rsidRDefault="00A90E57" w:rsidP="00A47486">
      <w:pPr>
        <w:widowControl w:val="0"/>
        <w:spacing w:after="0" w:line="240" w:lineRule="auto"/>
        <w:ind w:firstLine="567"/>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Денежные средства, переданные Заказчику в качестве обеспечения исполнения Контракта, возвращаются Исполнителю в полном объеме в случае полного и своевременного выполнения Исполнителем обязательств, предусмотренных Контрактом, на указанный Исполнителем счет для возврата </w:t>
      </w:r>
      <w:r>
        <w:rPr>
          <w:rFonts w:ascii="Times New Roman" w:hAnsi="Times New Roman" w:cs="Times New Roman"/>
          <w:color w:val="0D0D0D"/>
          <w:sz w:val="28"/>
          <w:szCs w:val="28"/>
        </w:rPr>
        <w:lastRenderedPageBreak/>
        <w:t>обеспечения исполнения Контракта в течение 10 (десяти) календарных дней с момента выполнения обязательств по Контракту в полном объеме.</w:t>
      </w:r>
    </w:p>
    <w:p w:rsidR="00A90E57" w:rsidRPr="00A90E57" w:rsidRDefault="00A90E57" w:rsidP="00A47486">
      <w:pPr>
        <w:widowControl w:val="0"/>
        <w:spacing w:after="0" w:line="240" w:lineRule="auto"/>
        <w:ind w:firstLine="567"/>
        <w:contextualSpacing/>
        <w:jc w:val="both"/>
        <w:rPr>
          <w:rFonts w:ascii="Times New Roman" w:hAnsi="Times New Roman" w:cs="Times New Roman"/>
          <w:color w:val="0D0D0D"/>
          <w:sz w:val="28"/>
          <w:szCs w:val="28"/>
          <w:u w:val="single"/>
        </w:rPr>
      </w:pPr>
      <w:r w:rsidRPr="00A90E57">
        <w:rPr>
          <w:rFonts w:ascii="Times New Roman" w:hAnsi="Times New Roman" w:cs="Times New Roman"/>
          <w:color w:val="0D0D0D"/>
          <w:sz w:val="28"/>
          <w:szCs w:val="28"/>
          <w:u w:val="single"/>
        </w:rPr>
        <w:t>В случае обеспечения контракта банковской гарантией:</w:t>
      </w:r>
    </w:p>
    <w:p w:rsidR="00A90E57" w:rsidRPr="00A90E57" w:rsidRDefault="00A90E57" w:rsidP="00A47486">
      <w:pPr>
        <w:widowControl w:val="0"/>
        <w:spacing w:after="0" w:line="240" w:lineRule="auto"/>
        <w:ind w:firstLine="567"/>
        <w:contextualSpacing/>
        <w:jc w:val="both"/>
        <w:rPr>
          <w:rFonts w:ascii="Times New Roman" w:hAnsi="Times New Roman" w:cs="Times New Roman"/>
          <w:sz w:val="28"/>
          <w:szCs w:val="28"/>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sz w:val="28"/>
          <w:szCs w:val="28"/>
        </w:rPr>
        <w:t>Срок действия банковской гарантии должен превышать срок действия контракта не менее чем на один месяц.</w:t>
      </w:r>
    </w:p>
    <w:p w:rsidR="00340A4A" w:rsidRPr="00A90E57" w:rsidRDefault="00340A4A" w:rsidP="00A90E57">
      <w:pPr>
        <w:widowControl w:val="0"/>
        <w:spacing w:after="0" w:line="240" w:lineRule="auto"/>
        <w:ind w:firstLine="567"/>
        <w:contextualSpacing/>
        <w:jc w:val="both"/>
      </w:pPr>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3274B4"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C969BD">
        <w:rPr>
          <w:rFonts w:ascii="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274B4">
        <w:rPr>
          <w:rFonts w:ascii="Times New Roman" w:hAnsi="Times New Roman" w:cs="Times New Roman"/>
          <w:sz w:val="28"/>
          <w:szCs w:val="28"/>
        </w:rPr>
        <w:t>;</w:t>
      </w:r>
    </w:p>
    <w:p w:rsidR="00A90E57" w:rsidRPr="00C969BD"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0E57" w:rsidRPr="00C969BD"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0E57" w:rsidRPr="00C969BD"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0E57" w:rsidRPr="00C969BD"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w:t>
      </w:r>
      <w:r w:rsidRPr="00C969BD">
        <w:rPr>
          <w:rFonts w:ascii="Times New Roman" w:hAnsi="Times New Roman" w:cs="Times New Roman"/>
          <w:sz w:val="28"/>
          <w:szCs w:val="28"/>
        </w:rPr>
        <w:lastRenderedPageBreak/>
        <w:t>о членах коллегиального исполнительного органа, лице, исполняющем функции единоличного исполнительного органа участника закупки;</w:t>
      </w:r>
    </w:p>
    <w:p w:rsidR="00A90E57"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0E57" w:rsidRPr="00F95720" w:rsidRDefault="00A90E57" w:rsidP="00A90E57">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0E57" w:rsidRPr="00C969BD"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8"/>
          <w:szCs w:val="28"/>
        </w:rPr>
        <w:t xml:space="preserve"> – </w:t>
      </w:r>
      <w:r w:rsidRPr="00607E5E">
        <w:rPr>
          <w:rFonts w:ascii="Times New Roman" w:hAnsi="Times New Roman" w:cs="Times New Roman"/>
          <w:i/>
          <w:sz w:val="28"/>
          <w:szCs w:val="28"/>
        </w:rPr>
        <w:t>не установлено;</w:t>
      </w:r>
    </w:p>
    <w:p w:rsidR="00A90E57" w:rsidRPr="00C969BD"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0E57" w:rsidRPr="00C969BD" w:rsidRDefault="00A90E57" w:rsidP="00A90E57">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Pr="00C969BD">
        <w:rPr>
          <w:rFonts w:ascii="Times New Roman" w:hAnsi="Times New Roman" w:cs="Times New Roman"/>
          <w:sz w:val="28"/>
          <w:szCs w:val="28"/>
        </w:rPr>
        <w:t>) участник закупки не является офшорной компанией.</w:t>
      </w:r>
    </w:p>
    <w:p w:rsidR="00340A4A" w:rsidRPr="00C969BD" w:rsidRDefault="00340A4A" w:rsidP="00A90E57">
      <w:pPr>
        <w:tabs>
          <w:tab w:val="left" w:pos="1134"/>
        </w:tabs>
        <w:spacing w:after="0" w:line="240" w:lineRule="auto"/>
        <w:ind w:firstLine="567"/>
        <w:contextualSpacing/>
        <w:jc w:val="both"/>
        <w:rPr>
          <w:rFonts w:ascii="Times New Roman" w:hAnsi="Times New Roman" w:cs="Times New Roman"/>
          <w:sz w:val="28"/>
          <w:szCs w:val="28"/>
        </w:rPr>
      </w:pP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7286A"/>
    <w:rsid w:val="00077407"/>
    <w:rsid w:val="000E77FE"/>
    <w:rsid w:val="000F531A"/>
    <w:rsid w:val="001112D2"/>
    <w:rsid w:val="0019189A"/>
    <w:rsid w:val="001C3851"/>
    <w:rsid w:val="001E1EBF"/>
    <w:rsid w:val="00227705"/>
    <w:rsid w:val="003274B4"/>
    <w:rsid w:val="00340A4A"/>
    <w:rsid w:val="00480CC7"/>
    <w:rsid w:val="004E7F57"/>
    <w:rsid w:val="00547ABB"/>
    <w:rsid w:val="005677C6"/>
    <w:rsid w:val="0058048C"/>
    <w:rsid w:val="00584C36"/>
    <w:rsid w:val="0059195A"/>
    <w:rsid w:val="005A1B56"/>
    <w:rsid w:val="005B52B9"/>
    <w:rsid w:val="005E1AE5"/>
    <w:rsid w:val="0060317C"/>
    <w:rsid w:val="006712A1"/>
    <w:rsid w:val="00761E97"/>
    <w:rsid w:val="00803B22"/>
    <w:rsid w:val="008D333C"/>
    <w:rsid w:val="008E22E4"/>
    <w:rsid w:val="009F3F8F"/>
    <w:rsid w:val="00A47486"/>
    <w:rsid w:val="00A65BD3"/>
    <w:rsid w:val="00A90E57"/>
    <w:rsid w:val="00AD218A"/>
    <w:rsid w:val="00B32C95"/>
    <w:rsid w:val="00C52490"/>
    <w:rsid w:val="00C7430F"/>
    <w:rsid w:val="00C86DD7"/>
    <w:rsid w:val="00C969BD"/>
    <w:rsid w:val="00D23BF7"/>
    <w:rsid w:val="00E54C6F"/>
    <w:rsid w:val="00EF36AF"/>
    <w:rsid w:val="00F31102"/>
    <w:rsid w:val="00FC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DBEB-9C2F-40C9-92A7-C539A04C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27</cp:revision>
  <cp:lastPrinted>2018-03-29T00:42:00Z</cp:lastPrinted>
  <dcterms:created xsi:type="dcterms:W3CDTF">2017-03-22T07:45:00Z</dcterms:created>
  <dcterms:modified xsi:type="dcterms:W3CDTF">2018-03-29T00:45:00Z</dcterms:modified>
</cp:coreProperties>
</file>